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Утв. Указом Президента РФ</w:t>
      </w:r>
      <w:r/>
    </w:p>
    <w:p>
      <w:pPr>
        <w:ind w:left="0" w:right="0" w:firstLine="0"/>
        <w:jc w:val="right"/>
        <w:spacing w:lineRule="auto" w:line="240" w:after="0"/>
        <w:rPr>
          <w:rFonts w:ascii="Times New Roman" w:hAnsi="Times New Roman" w:cs="Times New Roman" w:eastAsia="Times New Roman"/>
          <w:i/>
          <w:iCs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от 23 июня 2014 г. № 460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br/>
      </w:r>
      <w:r>
        <w:rPr>
          <w:rFonts w:ascii="Times New Roman" w:hAnsi="Times New Roman" w:cs="Times New Roman" w:eastAsia="Times New Roman"/>
          <w:i/>
          <w:iCs/>
          <w:sz w:val="16"/>
          <w:szCs w:val="16"/>
          <w:lang w:val="ru-RU" w:bidi="ru-RU"/>
        </w:rPr>
        <w:t xml:space="preserve">(в ред. от 15 января 2020 г.)</w:t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9855"/>
      </w:tblGrid>
      <w:tr>
        <w:trPr>
          <w:trHeight w:val="240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6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В</w:t>
            </w:r>
            <w:r/>
          </w:p>
        </w:tc>
        <w:tc>
          <w:tcPr>
            <w:tcBorders>
              <w:bottom w:val="single" w:color="000000" w:sz="4" w:space="0"/>
            </w:tcBorders>
            <w:tcW w:w="9855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6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55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(указывается наименование кадрового подразделения федерального государственного органа,</w:t>
            </w:r>
            <w:r/>
          </w:p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иного органа или организации)</w:t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pacing w:val="40"/>
          <w:sz w:val="32"/>
          <w:szCs w:val="32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pacing w:val="40"/>
          <w:sz w:val="32"/>
          <w:szCs w:val="32"/>
          <w:lang w:val="ru-RU" w:bidi="ru-RU"/>
        </w:rPr>
        <w:t xml:space="preserve">СПРАВКА</w:t>
      </w:r>
      <w:r>
        <w:rPr>
          <w:rStyle w:val="785"/>
          <w:rFonts w:ascii="Times New Roman" w:hAnsi="Times New Roman" w:cs="Times New Roman" w:eastAsia="Times New Roman"/>
          <w:b/>
          <w:bCs/>
          <w:spacing w:val="40"/>
          <w:sz w:val="32"/>
          <w:szCs w:val="32"/>
          <w:vertAlign w:val="superscript"/>
          <w:lang w:val="ru-RU" w:bidi="ru-RU"/>
        </w:rPr>
        <w:footnoteReference w:id="2"/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32"/>
          <w:szCs w:val="32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ru-RU" w:bidi="ru-RU"/>
        </w:rPr>
        <w:t xml:space="preserve">о доходах, расходах, об имуществе и обязательствах</w:t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32"/>
          <w:szCs w:val="32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ru-RU" w:bidi="ru-RU"/>
        </w:rPr>
        <w:t xml:space="preserve">имущественного характера</w:t>
      </w:r>
      <w:r>
        <w:rPr>
          <w:rStyle w:val="785"/>
          <w:rFonts w:ascii="Times New Roman" w:hAnsi="Times New Roman" w:cs="Times New Roman" w:eastAsia="Times New Roman"/>
          <w:b/>
          <w:bCs/>
          <w:sz w:val="32"/>
          <w:szCs w:val="32"/>
          <w:vertAlign w:val="superscript"/>
          <w:lang w:val="ru-RU" w:bidi="ru-RU"/>
        </w:rPr>
        <w:footnoteReference w:id="3"/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30"/>
        <w:gridCol w:w="3220"/>
        <w:gridCol w:w="6145"/>
        <w:gridCol w:w="70"/>
      </w:tblGrid>
      <w:tr>
        <w:trPr>
          <w:gridBefore w:val="1"/>
          <w:trHeight w:val="240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430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Я,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gridSpan w:val="4"/>
            <w:tcBorders>
              <w:bottom w:val="single" w:color="000000" w:sz="4" w:space="0"/>
            </w:tcBorders>
            <w:tcW w:w="1012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" w:type="dxa"/>
            <w:vAlign w:val="bottom"/>
            <w:textDirection w:val="lrTb"/>
            <w:noWrap w:val="false"/>
          </w:tcPr>
          <w:p>
            <w:pPr>
              <w:ind w:left="0" w:right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,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</w:tcBorders>
            <w:tcW w:w="1012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br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страховой номер индивидуального лицевого счета (при наличии))</w:t>
            </w:r>
            <w:r/>
          </w:p>
        </w:tc>
        <w:tc>
          <w:tcPr>
            <w:tcW w:w="70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gridSpan w:val="5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gridSpan w:val="5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gridSpan w:val="4"/>
            <w:tcBorders>
              <w:bottom w:val="single" w:color="000000" w:sz="4" w:space="0"/>
            </w:tcBorders>
            <w:tcW w:w="1012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" w:type="dxa"/>
            <w:vAlign w:val="bottom"/>
            <w:textDirection w:val="lrTb"/>
            <w:noWrap w:val="false"/>
          </w:tcPr>
          <w:p>
            <w:pPr>
              <w:ind w:left="0" w:right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,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</w:tcBorders>
            <w:tcW w:w="1012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(место работы (службы), занимаемая (замещаемая) должность; в случае отсутствия основного места работы (службы) —</w:t>
            </w:r>
            <w:r/>
          </w:p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род занятий; должность, на замещение которой претендует гражданин (если применимо))</w:t>
            </w:r>
            <w:r/>
          </w:p>
        </w:tc>
        <w:tc>
          <w:tcPr>
            <w:tcW w:w="70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gridSpan w:val="3"/>
            <w:tcMar>
              <w:left w:w="0" w:type="dxa"/>
              <w:top w:w="0" w:type="auto"/>
              <w:right w:w="0" w:type="dxa"/>
              <w:bottom w:w="0" w:type="auto"/>
            </w:tcMar>
            <w:tcW w:w="3976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зарегистрированный по адресу: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6215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gridSpan w:val="4"/>
            <w:tcBorders>
              <w:bottom w:val="single" w:color="000000" w:sz="4" w:space="0"/>
            </w:tcBorders>
            <w:tcW w:w="1012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" w:type="dxa"/>
            <w:vAlign w:val="bottom"/>
            <w:textDirection w:val="lrTb"/>
            <w:noWrap w:val="false"/>
          </w:tcPr>
          <w:p>
            <w:pPr>
              <w:ind w:left="0" w:right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,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</w:tcBorders>
            <w:tcW w:w="1012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(адрес места регистрации)</w:t>
            </w:r>
            <w:r/>
          </w:p>
        </w:tc>
        <w:tc>
          <w:tcPr>
            <w:tcW w:w="70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сообщаю сведения о доходах, расходах своих, супруги (супруга), несовершеннолетнего ребенка </w:t>
      </w:r>
      <w:r>
        <w:rPr>
          <w:rFonts w:ascii="Times New Roman" w:hAnsi="Times New Roman" w:cs="Times New Roman" w:eastAsia="Times New Roman"/>
          <w:sz w:val="14"/>
          <w:szCs w:val="14"/>
          <w:lang w:val="ru-RU" w:bidi="ru-RU"/>
        </w:rPr>
        <w:t xml:space="preserve">(нужное подчеркнуть)</w:t>
      </w:r>
      <w:r/>
    </w:p>
    <w:tbl>
      <w:tblPr>
        <w:tblStyle w:val="782"/>
        <w:tblW w:w="10191" w:type="dxa"/>
        <w:tblInd w:w="1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2422"/>
        <w:gridCol w:w="448"/>
        <w:gridCol w:w="2449"/>
        <w:gridCol w:w="472"/>
        <w:gridCol w:w="2692"/>
      </w:tblGrid>
      <w:tr>
        <w:trPr>
          <w:trHeight w:val="240"/>
        </w:trPr>
        <w:tc>
          <w:tcPr>
            <w:gridSpan w:val="6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br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ребенка, не имеющего паспорта), дата выдачи и орган, выдавший документ, страховой номер индивидуального лицевого счета (при наличии))</w:t>
            </w:r>
            <w:r/>
          </w:p>
        </w:tc>
      </w:tr>
      <w:tr>
        <w:trPr>
          <w:trHeight w:val="240"/>
        </w:trPr>
        <w:tc>
          <w:tcPr>
            <w:gridSpan w:val="6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(адрес места регистрации, основное место работы (службы), занимаемая (замещаемая) должность)</w:t>
            </w:r>
            <w:r/>
          </w:p>
        </w:tc>
      </w:tr>
      <w:tr>
        <w:trPr>
          <w:trHeight w:val="240"/>
        </w:trPr>
        <w:tc>
          <w:tcPr>
            <w:gridSpan w:val="6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(в случае отсутствия основного места работы (службы) — род занятий)</w:t>
            </w:r>
            <w:r/>
          </w:p>
        </w:tc>
      </w:tr>
      <w:tr>
        <w:trPr>
          <w:trHeight w:val="240"/>
        </w:trPr>
        <w:tc>
          <w:tcPr>
            <w:gridSpan w:val="6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gridSpan w:val="2"/>
            <w:tcW w:w="4130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tabs>
                <w:tab w:val="right" w:pos="413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за отчетный период с 1 января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9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tabs>
                <w:tab w:val="right" w:pos="24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 г. по 31 декабря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472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92" w:type="dxa"/>
            <w:vAlign w:val="bottom"/>
            <w:textDirection w:val="lrTb"/>
            <w:noWrap w:val="false"/>
          </w:tcPr>
          <w:p>
            <w:pPr>
              <w:ind w:left="0" w:right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г. об имуществе, при-</w:t>
            </w:r>
            <w:r/>
          </w:p>
        </w:tc>
      </w:tr>
      <w:tr>
        <w:trPr>
          <w:trHeight w:val="240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1708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надлежащем</w:t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8483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1708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</w:tcBorders>
            <w:tcW w:w="8483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(фамилия, имя, отчество)</w:t>
            </w:r>
            <w:r/>
          </w:p>
        </w:tc>
      </w:tr>
    </w:tbl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на праве собственности, о вкладах в банках, ценных бумагах, об обязательствах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/>
      </w:r>
      <w:r/>
    </w:p>
    <w:tbl>
      <w:tblPr>
        <w:tblStyle w:val="782"/>
        <w:tblW w:w="10191" w:type="dxa"/>
        <w:tblInd w:w="1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>
        <w:trPr>
          <w:trHeight w:val="240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5655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tabs>
                <w:tab w:val="right" w:pos="565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имущественного характера по состоянию 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«</w:t>
            </w:r>
            <w:r/>
          </w:p>
        </w:tc>
        <w:tc>
          <w:tcPr>
            <w:tcBorders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4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»</w:t>
            </w:r>
            <w:r/>
          </w:p>
        </w:tc>
        <w:tc>
          <w:tcPr>
            <w:tcBorders>
              <w:bottom w:val="single" w:color="000000" w:sz="4" w:space="0"/>
            </w:tcBorders>
            <w:tcW w:w="1764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48" w:type="dxa"/>
            <w:vAlign w:val="bottom"/>
            <w:textDirection w:val="lrTb"/>
            <w:noWrap w:val="false"/>
          </w:tcPr>
          <w:p>
            <w:pPr>
              <w:ind w:left="0" w:right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490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092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 г.</w:t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Раздел 1. Сведения о доходах</w:t>
      </w:r>
      <w:r>
        <w:rPr>
          <w:rStyle w:val="785"/>
          <w:rFonts w:ascii="Times New Roman" w:hAnsi="Times New Roman" w:cs="Times New Roman" w:eastAsia="Times New Roman"/>
          <w:b/>
          <w:bCs/>
          <w:sz w:val="28"/>
          <w:szCs w:val="28"/>
          <w:vertAlign w:val="superscript"/>
          <w:lang w:val="ru-RU" w:bidi="ru-RU"/>
        </w:rPr>
        <w:footnoteReference w:id="4"/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34"/>
        <w:gridCol w:w="6649"/>
        <w:gridCol w:w="2254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4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3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 дохода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Величина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дохода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5"/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(руб.)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3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Доход по основному месту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Доход от педагогической и научной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Доход от иной творческой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Доход от вкладов в банках и иных кредитных организациях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Доход от ценных бумаг и долей участия в коммерческих организациях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Иные доходы (указать вид дохода):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64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64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64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Итого доход за отчетный период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Раздел 2. Сведения о расходах</w:t>
      </w:r>
      <w:r>
        <w:rPr>
          <w:rStyle w:val="785"/>
          <w:rFonts w:ascii="Times New Roman" w:hAnsi="Times New Roman" w:cs="Times New Roman" w:eastAsia="Times New Roman"/>
          <w:b/>
          <w:bCs/>
          <w:sz w:val="28"/>
          <w:szCs w:val="28"/>
          <w:vertAlign w:val="superscript"/>
          <w:lang w:val="ru-RU" w:bidi="ru-RU"/>
        </w:rPr>
        <w:footnoteReference w:id="6"/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34"/>
        <w:gridCol w:w="3040"/>
        <w:gridCol w:w="1305"/>
        <w:gridCol w:w="2393"/>
        <w:gridCol w:w="2417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приобретенного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имущества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Сумма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сделки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Источник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получения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средств, за счет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которых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приобретено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имущество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Основание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приобретения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7"/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47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Земельные участки: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47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Иное недвижимое имущество: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47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Транспортные средства: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47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Ценные бумаги: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4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05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Раздел 3. Сведения об имуществе</w:t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3.1. Недвижимое имущество</w:t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52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 и наименование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имущества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собственности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8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8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Местонахождение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(адрес)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9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Площадь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(кв. 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0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Основание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приобретения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 источник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средств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9"/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5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6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5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Земельные участки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0"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5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Жилые дома, дачи: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5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Квартиры: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5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Гаражи: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5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Иное недвижимое имущество: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bottom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1" w:type="dxa"/>
            <w:vAlign w:val="bottom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5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89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3.2. Транспортные средства</w:t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78"/>
        <w:gridCol w:w="3801"/>
        <w:gridCol w:w="1781"/>
        <w:gridCol w:w="3616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9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Вид, марка, модель транспортного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средства, год изготовления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1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собственности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1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Место регистрации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9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7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Автомобили легковые: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7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Автомобили грузовые: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7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Мототранспортные средства: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7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Сельскохозяйственная техника: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7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Водный транспорт: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7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Воздушный транспорт: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7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Иные транспортные средства: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1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Раздел 4. Сведения о счетах в банках и иных кредитных организациях</w:t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323"/>
        <w:gridCol w:w="2114"/>
        <w:gridCol w:w="1352"/>
        <w:gridCol w:w="1418"/>
        <w:gridCol w:w="1508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3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Наименование и адрес банка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или иной кредитной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4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 и валюта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счета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2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2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Дата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открытия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счета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Остаток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на счете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3"/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8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Сумма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поступивших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на счет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денежных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средств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4"/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(руб.)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3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8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6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8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8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8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Раздел 5. Сведения о ценных бумагах</w:t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5.1. Акции и иное участие в коммерческих организациях и фондах</w:t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659"/>
        <w:gridCol w:w="2504"/>
        <w:gridCol w:w="1260"/>
        <w:gridCol w:w="1082"/>
        <w:gridCol w:w="2085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Наименование и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организационно-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правовая форма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организации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5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4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Местонахождение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организации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(адрес)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Уставный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капитал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6"/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2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Доля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участия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7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Основание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участия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8"/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6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4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5.2. Иные ценные бумаги</w:t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57"/>
        <w:gridCol w:w="3227"/>
        <w:gridCol w:w="1582"/>
        <w:gridCol w:w="1316"/>
        <w:gridCol w:w="1337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ценной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бумаги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19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7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Лицо, выпустившее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ценную бумагу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2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Номинальная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величина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обязательства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Общее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количество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7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Общая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стоимость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20"/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(руб.)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7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7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6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7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7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7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7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7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7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2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7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340"/>
        <w:jc w:val="both"/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/>
      </w:r>
      <w:r/>
    </w:p>
    <w:tbl>
      <w:tblPr>
        <w:tblStyle w:val="782"/>
        <w:tblW w:w="10191" w:type="dxa"/>
        <w:tblInd w:w="1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9169"/>
        <w:gridCol w:w="70"/>
      </w:tblGrid>
      <w:tr>
        <w:trPr>
          <w:trHeight w:val="240"/>
        </w:trPr>
        <w:tc>
          <w:tcPr>
            <w:tcW w:w="952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(руб.),</w:t>
            </w:r>
            <w:r/>
          </w:p>
        </w:tc>
        <w:tc>
          <w:tcPr>
            <w:tcBorders>
              <w:bottom w:val="single" w:color="000000" w:sz="4" w:space="0"/>
            </w:tcBorders>
            <w:tcW w:w="9169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" w:type="dxa"/>
            <w:vAlign w:val="bottom"/>
            <w:textDirection w:val="lrTb"/>
            <w:noWrap w:val="false"/>
          </w:tcPr>
          <w:p>
            <w:pPr>
              <w:ind w:left="0" w:right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.</w:t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Раздел 6. Сведения об обязательствах имущественного характера</w:t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6.1. Объекты недвижимого имущества, находящиеся в пользовании</w:t>
      </w:r>
      <w:r>
        <w:rPr>
          <w:rStyle w:val="785"/>
          <w:rFonts w:ascii="Times New Roman" w:hAnsi="Times New Roman" w:cs="Times New Roman" w:eastAsia="Times New Roman"/>
          <w:b/>
          <w:bCs/>
          <w:sz w:val="28"/>
          <w:szCs w:val="28"/>
          <w:vertAlign w:val="superscript"/>
          <w:lang w:val="ru-RU" w:bidi="ru-RU"/>
        </w:rPr>
        <w:footnoteReference w:id="21"/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36"/>
        <w:gridCol w:w="1848"/>
        <w:gridCol w:w="1950"/>
        <w:gridCol w:w="2333"/>
        <w:gridCol w:w="1064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имущества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22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 и сроки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пользования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23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0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Основание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пользования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24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33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Местонахождение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(адрес)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4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Площадь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(кв. м)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0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33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4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6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3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3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0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3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4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567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6.2. Срочные обязательства финансового характера</w:t>
      </w:r>
      <w:r>
        <w:rPr>
          <w:rStyle w:val="785"/>
          <w:rFonts w:ascii="Times New Roman" w:hAnsi="Times New Roman" w:cs="Times New Roman" w:eastAsia="Times New Roman"/>
          <w:b/>
          <w:bCs/>
          <w:sz w:val="28"/>
          <w:szCs w:val="28"/>
          <w:vertAlign w:val="superscript"/>
          <w:lang w:val="ru-RU" w:bidi="ru-RU"/>
        </w:rPr>
        <w:footnoteReference w:id="25"/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2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Содержание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обязательства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26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Кредитор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(должник)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27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Основание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возникновения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28"/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Сумма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обязательства/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размер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обязательства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по состоянию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на отчетную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дату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29"/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Условия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обяза-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тельства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30"/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2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6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/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bottom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/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bottom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2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ind w:left="57" w:righ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/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9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bottom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567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Раздел 7. Сведения о недвижимом имуществе, транспортных средствах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br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и ценных бумагах, отчужденных в течение отчетного периода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br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в результате безвозмездной сделки</w:t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8"/>
        <w:gridCol w:w="3808"/>
        <w:gridCol w:w="1763"/>
        <w:gridCol w:w="3626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№</w:t>
            </w:r>
            <w:r/>
          </w:p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Вид имущества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Приобретатель имущества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по сделке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31"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Основание отчуждения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имущества</w:t>
            </w:r>
            <w:r>
              <w:rPr>
                <w:rStyle w:val="785"/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footnoteReference w:id="32"/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8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8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Земельные участки: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8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Иное недвижимое имущество: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8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Транспортные средства: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18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Ценные бумаги: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1)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80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bottom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808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6" w:type="dxa"/>
            <w:vAlign w:val="bottom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ind w:left="0" w:right="0" w:firstLine="34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Достоверность и полноту настоящих сведений подтверждаю.</w:t>
      </w:r>
      <w:r/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>
        <w:trPr>
          <w:trHeight w:val="240"/>
        </w:trPr>
        <w:tc>
          <w:tcPr>
            <w:tcW w:w="140" w:type="dxa"/>
            <w:vAlign w:val="bottom"/>
            <w:textDirection w:val="lrTb"/>
            <w:noWrap w:val="false"/>
          </w:tcPr>
          <w:p>
            <w:pPr>
              <w:ind w:left="0" w:right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«</w:t>
            </w:r>
            <w:r/>
          </w:p>
        </w:tc>
        <w:tc>
          <w:tcPr>
            <w:tcBorders>
              <w:bottom w:val="single" w:color="000000" w:sz="4" w:space="0"/>
            </w:tcBorders>
            <w:tcW w:w="490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08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»</w:t>
            </w:r>
            <w:r/>
          </w:p>
        </w:tc>
        <w:tc>
          <w:tcPr>
            <w:tcBorders>
              <w:bottom w:val="single" w:color="000000" w:sz="4" w:space="0"/>
            </w:tcBorders>
            <w:tcW w:w="1973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49" w:type="dxa"/>
            <w:vAlign w:val="bottom"/>
            <w:textDirection w:val="lrTb"/>
            <w:noWrap w:val="false"/>
          </w:tcPr>
          <w:p>
            <w:pPr>
              <w:ind w:left="0" w:right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16" w:type="dxa"/>
            <w:vAlign w:val="bottom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t xml:space="preserve"> г.</w:t>
            </w:r>
            <w:r/>
          </w:p>
        </w:tc>
        <w:tc>
          <w:tcPr>
            <w:tcBorders>
              <w:bottom w:val="single" w:color="000000" w:sz="4" w:space="0"/>
            </w:tcBorders>
            <w:tcW w:w="578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0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0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08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73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49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16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78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(подпись лица, представляющего сведения)</w:t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tbl>
      <w:tblPr>
        <w:tblStyle w:val="782"/>
        <w:tblW w:w="10191" w:type="dxa"/>
        <w:tblInd w:w="1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</w:tblGrid>
      <w:tr>
        <w:trPr>
          <w:trHeight w:val="240"/>
        </w:trPr>
        <w:tc>
          <w:tcPr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val="ru-RU" w:bidi="ru-RU"/>
              </w:rPr>
              <w:t xml:space="preserve">(Ф.И.О. и подпись лица, принявшего справку)</w:t>
            </w:r>
            <w:r/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sectPr>
      <w:headerReference w:type="default" r:id="rId8"/>
      <w:footnotePr>
        <w:numRestart w:val="eachPage"/>
        <w:pos w:val="pageBottom"/>
      </w:footnotePr>
      <w:endnotePr/>
      <w:type w:val="nextPage"/>
      <w:pgSz w:w="11906" w:h="16838" w:orient="portrait"/>
      <w:pgMar w:top="851" w:right="567" w:bottom="567" w:left="1134" w:header="397" w:footer="39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separator/>
      </w:r>
      <w:r/>
    </w:p>
  </w:endnote>
  <w:endnote w:type="continuationSeparator" w:id="0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separator/>
      </w:r>
      <w:r/>
    </w:p>
  </w:footnote>
  <w:footnote w:type="continuationSeparator" w:id="0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continuationSeparator/>
      </w:r>
      <w:r/>
    </w:p>
  </w:footnote>
  <w:footnote w:id="2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  <w:r/>
    </w:p>
  </w:footnote>
  <w:footnote w:id="3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Сведения представляются лиц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  <w:r/>
    </w:p>
  </w:footnote>
  <w:footnote w:id="4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доходы (включая пенсии, пособия, иные выплаты) за отчетный период.</w:t>
      </w:r>
      <w:r/>
    </w:p>
  </w:footnote>
  <w:footnote w:id="5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Доход, полученный в иностранной валюте, указывается в рублях по курсу Банка России на дату получения дохода.</w:t>
      </w:r>
      <w:r/>
    </w:p>
  </w:footnote>
  <w:footnote w:id="6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Сведения о расходах представляются в случаях, установленных статьей 3 Фе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  <w:r/>
    </w:p>
  </w:footnote>
  <w:footnote w:id="7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r/>
    </w:p>
  </w:footnote>
  <w:footnote w:id="8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Указывается вид собственно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/>
    </w:p>
  </w:footnote>
  <w:footnote w:id="9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наименование и реквизиты до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  <w:r/>
    </w:p>
  </w:footnote>
  <w:footnote w:id="10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/>
    </w:p>
  </w:footnote>
  <w:footnote w:id="11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Указывается вид с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/>
    </w:p>
  </w:footnote>
  <w:footnote w:id="12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вид счета (депозитный, текущий, расчетный, ссудный и другие) и валюта счета.</w:t>
      </w:r>
      <w:r/>
    </w:p>
  </w:footnote>
  <w:footnote w:id="13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/>
    </w:p>
  </w:footnote>
  <w:footnote w:id="14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/>
    </w:p>
  </w:footnote>
  <w:footnote w:id="15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  <w:r/>
    </w:p>
  </w:footnote>
  <w:footnote w:id="16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  <w:r/>
    </w:p>
  </w:footnote>
  <w:footnote w:id="17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/>
    </w:p>
  </w:footnote>
  <w:footnote w:id="18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/>
    </w:p>
  </w:footnote>
  <w:footnote w:id="19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  <w:r/>
    </w:p>
  </w:footnote>
  <w:footnote w:id="20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Указывается общая стоимость ценных бумаг 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/>
    </w:p>
  </w:footnote>
  <w:footnote w:id="21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по состоянию на отчетную дату.</w:t>
      </w:r>
      <w:r/>
    </w:p>
  </w:footnote>
  <w:footnote w:id="22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Указывается вид недвижимого имущества (земельный участок, жилой дом, дача и другие).</w:t>
      </w:r>
      <w:r/>
    </w:p>
  </w:footnote>
  <w:footnote w:id="23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вид пользования (аренда, безвозмездное пользование и другие) и сроки пользования.</w:t>
      </w:r>
      <w:r/>
    </w:p>
  </w:footnote>
  <w:footnote w:id="24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r/>
    </w:p>
  </w:footnote>
  <w:footnote w:id="25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имеющиеся на отчетную дату срочные обязательства финансового характера на сумму, равную или превышающую 500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000 руб., кредитором или должником по которым является лицо, сведения об обязательствах которого представляются.</w:t>
      </w:r>
      <w:r/>
    </w:p>
  </w:footnote>
  <w:footnote w:id="26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Указывается существо обязательства (заем, кредит и другие).</w:t>
      </w:r>
      <w:r/>
    </w:p>
  </w:footnote>
  <w:footnote w:id="27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  <w:r/>
    </w:p>
  </w:footnote>
  <w:footnote w:id="28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  <w:r/>
    </w:p>
  </w:footnote>
  <w:footnote w:id="29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  <w:r/>
    </w:p>
  </w:footnote>
  <w:footnote w:id="30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r/>
    </w:p>
  </w:footnote>
  <w:footnote w:id="31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</w:t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r/>
    </w:p>
  </w:footnote>
  <w:footnote w:id="32">
    <w:p>
      <w:pPr>
        <w:pStyle w:val="783"/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785"/>
          <w:rFonts w:ascii="Times New Roman" w:hAnsi="Times New Roman" w:cs="Times New Roman" w:eastAsia="Times New Roman"/>
          <w:sz w:val="16"/>
          <w:szCs w:val="16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ind w:left="0" w:right="0" w:firstLine="0"/>
      <w:jc w:val="left"/>
      <w:spacing w:lineRule="auto" w:line="240" w:after="0"/>
      <w:tabs>
        <w:tab w:val="center" w:pos="4677" w:leader="none"/>
        <w:tab w:val="right" w:pos="9355" w:leader="none"/>
      </w:tabs>
      <w:rPr>
        <w:rFonts w:ascii="Arial" w:hAnsi="Arial" w:cs="Arial" w:eastAsia="Arial"/>
        <w:sz w:val="12"/>
        <w:szCs w:val="12"/>
        <w:lang w:val="ru-RU" w:bidi="ru-RU"/>
      </w:rPr>
    </w:pPr>
    <w:r>
      <w:rPr>
        <w:rFonts w:ascii="Arial" w:hAnsi="Arial" w:cs="Arial" w:eastAsia="Arial"/>
        <w:sz w:val="12"/>
        <w:szCs w:val="12"/>
        <w:lang w:val="ru-RU" w:bidi="ru-RU"/>
      </w:rPr>
      <w:t xml:space="preserve"> 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"/>
    <m:intLim m:val="subSup"/>
    <m:lMargin m:val="0"/>
    <m:mathFont m:val="Cambria Math"/>
    <m:naryLim m:val="undOvr"/>
    <m:rMargin m:val="0"/>
    <m:wrapIndent m:val="1440"/>
  </m:mathPr>
  <w:trackRevisions w:val="false"/>
  <w:footnotePr>
    <w:footnote w:id="-1"/>
    <w:footnote w:id="0"/>
    <w:numFmt w:val="decimal"/>
    <w:numRestart w:val="eachPage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71"/>
    <w:link w:val="77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69"/>
    <w:next w:val="76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69"/>
    <w:next w:val="76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69"/>
    <w:next w:val="76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69"/>
    <w:next w:val="76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69"/>
    <w:next w:val="76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69"/>
    <w:next w:val="76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69"/>
    <w:next w:val="76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69"/>
    <w:next w:val="76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6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69"/>
    <w:next w:val="76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71"/>
    <w:link w:val="32"/>
    <w:uiPriority w:val="10"/>
    <w:rPr>
      <w:sz w:val="48"/>
      <w:szCs w:val="48"/>
    </w:rPr>
  </w:style>
  <w:style w:type="paragraph" w:styleId="34">
    <w:name w:val="Subtitle"/>
    <w:basedOn w:val="769"/>
    <w:next w:val="76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71"/>
    <w:link w:val="34"/>
    <w:uiPriority w:val="11"/>
    <w:rPr>
      <w:sz w:val="24"/>
      <w:szCs w:val="24"/>
    </w:rPr>
  </w:style>
  <w:style w:type="paragraph" w:styleId="36">
    <w:name w:val="Quote"/>
    <w:basedOn w:val="769"/>
    <w:next w:val="76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69"/>
    <w:next w:val="76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71"/>
    <w:link w:val="774"/>
    <w:uiPriority w:val="99"/>
  </w:style>
  <w:style w:type="character" w:styleId="43">
    <w:name w:val="Footer Char"/>
    <w:basedOn w:val="771"/>
    <w:link w:val="776"/>
    <w:uiPriority w:val="99"/>
  </w:style>
  <w:style w:type="paragraph" w:styleId="44">
    <w:name w:val="Caption"/>
    <w:basedOn w:val="769"/>
    <w:next w:val="7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76"/>
    <w:uiPriority w:val="99"/>
  </w:style>
  <w:style w:type="table" w:styleId="47">
    <w:name w:val="Table Grid Light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783"/>
    <w:uiPriority w:val="99"/>
    <w:rPr>
      <w:sz w:val="18"/>
    </w:rPr>
  </w:style>
  <w:style w:type="paragraph" w:styleId="176">
    <w:name w:val="endnote text"/>
    <w:basedOn w:val="76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71"/>
    <w:uiPriority w:val="99"/>
    <w:semiHidden/>
    <w:unhideWhenUsed/>
    <w:rPr>
      <w:vertAlign w:val="superscript"/>
    </w:rPr>
  </w:style>
  <w:style w:type="paragraph" w:styleId="179">
    <w:name w:val="toc 1"/>
    <w:basedOn w:val="769"/>
    <w:next w:val="76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69"/>
    <w:next w:val="76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69"/>
    <w:next w:val="76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69"/>
    <w:next w:val="76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69"/>
    <w:next w:val="76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69"/>
    <w:next w:val="76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69"/>
    <w:next w:val="76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69"/>
    <w:next w:val="76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69"/>
    <w:next w:val="76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769" w:default="1">
    <w:name w:val="Normal"/>
    <w:qFormat/>
    <w:uiPriority w:val="0"/>
    <w:rPr>
      <w:rFonts w:ascii="Times New Roman" w:hAnsi="Times New Roman" w:cs="Times New Roman" w:eastAsia="Times New Roman"/>
      <w:sz w:val="24"/>
      <w:szCs w:val="24"/>
      <w:lang w:val="ru-RU" w:bidi="ru-RU"/>
    </w:rPr>
    <w:pPr>
      <w:ind w:left="0" w:right="0"/>
      <w:jc w:val="left"/>
      <w:spacing w:lineRule="auto" w:line="240" w:after="0"/>
    </w:pPr>
  </w:style>
  <w:style w:type="paragraph" w:styleId="770">
    <w:name w:val="Heading 1"/>
    <w:basedOn w:val="769"/>
    <w:qFormat/>
    <w:rPr>
      <w:rFonts w:ascii="Arial" w:hAnsi="Arial" w:cs="Arial" w:eastAsia="Arial"/>
      <w:b/>
      <w:bCs/>
      <w:color w:val="26282F"/>
      <w:sz w:val="24"/>
      <w:szCs w:val="24"/>
      <w:lang w:val="ru-RU" w:bidi="ru-RU"/>
    </w:rPr>
    <w:pPr>
      <w:ind w:left="0" w:right="0"/>
      <w:jc w:val="center"/>
      <w:spacing w:lineRule="auto" w:line="240" w:after="108" w:before="108"/>
      <w:outlineLvl w:val="0"/>
    </w:pPr>
  </w:style>
  <w:style w:type="character" w:styleId="771" w:default="1">
    <w:name w:val="Default Paragraph Font"/>
    <w:semiHidden/>
    <w:rPr>
      <w:rFonts w:ascii="Times New Roman" w:hAnsi="Times New Roman" w:cs="Times New Roman" w:eastAsia="Times New Roman"/>
      <w:sz w:val="24"/>
    </w:rPr>
  </w:style>
  <w:style w:type="table" w:styleId="772" w:default="1">
    <w:name w:val="Normal Table"/>
    <w:qFormat/>
    <w:semiHidden/>
    <w:unhideWhenUsed/>
    <w:rPr>
      <w:rFonts w:ascii="Times New Roman" w:hAnsi="Times New Roman" w:cs="Times New Roman" w:eastAsia="Times New Roman"/>
      <w:sz w:val="22"/>
      <w:szCs w:val="22"/>
      <w:lang w:val="ru-RU" w:bidi="ru-RU"/>
    </w:rPr>
    <w:pPr>
      <w:ind w:left="0" w:right="0"/>
      <w:jc w:val="left"/>
      <w:spacing w:lineRule="auto" w:line="276" w:after="200"/>
    </w:pPr>
    <w:tblPr/>
  </w:style>
  <w:style w:type="character" w:styleId="773">
    <w:name w:val="Заголовок 1 Знак"/>
    <w:basedOn w:val="771"/>
    <w:rPr>
      <w:rFonts w:ascii="Arial" w:hAnsi="Arial" w:cs="Arial" w:eastAsia="Arial"/>
      <w:b/>
      <w:color w:val="26282F"/>
      <w:sz w:val="24"/>
    </w:rPr>
  </w:style>
  <w:style w:type="paragraph" w:styleId="774">
    <w:name w:val="Header"/>
    <w:basedOn w:val="769"/>
    <w:rPr>
      <w:rFonts w:ascii="Times New Roman" w:hAnsi="Times New Roman" w:cs="Times New Roman" w:eastAsia="Times New Roman"/>
      <w:sz w:val="24"/>
      <w:szCs w:val="24"/>
      <w:lang w:val="ru-RU" w:bidi="ru-RU"/>
    </w:rPr>
    <w:pPr>
      <w:ind w:left="0" w:right="0"/>
      <w:jc w:val="left"/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75">
    <w:name w:val="Верхний колонтитул Знак"/>
    <w:basedOn w:val="771"/>
    <w:semiHidden/>
    <w:rPr>
      <w:rFonts w:ascii="Times New Roman" w:hAnsi="Times New Roman" w:cs="Times New Roman" w:eastAsia="Times New Roman"/>
      <w:sz w:val="24"/>
    </w:rPr>
  </w:style>
  <w:style w:type="paragraph" w:styleId="776">
    <w:name w:val="Footer"/>
    <w:basedOn w:val="769"/>
    <w:rPr>
      <w:rFonts w:ascii="Times New Roman" w:hAnsi="Times New Roman" w:cs="Times New Roman" w:eastAsia="Times New Roman"/>
      <w:sz w:val="24"/>
      <w:szCs w:val="24"/>
      <w:lang w:val="ru-RU" w:bidi="ru-RU"/>
    </w:rPr>
    <w:pPr>
      <w:ind w:left="0" w:right="0"/>
      <w:jc w:val="left"/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77">
    <w:name w:val="Нижний колонтитул Знак"/>
    <w:basedOn w:val="771"/>
    <w:semiHidden/>
    <w:rPr>
      <w:rFonts w:ascii="Times New Roman" w:hAnsi="Times New Roman" w:cs="Times New Roman" w:eastAsia="Times New Roman"/>
      <w:sz w:val="24"/>
    </w:rPr>
  </w:style>
  <w:style w:type="character" w:styleId="778">
    <w:name w:val="Цветовое выделение"/>
    <w:rPr>
      <w:rFonts w:ascii="Times New Roman" w:hAnsi="Times New Roman" w:cs="Times New Roman" w:eastAsia="Times New Roman"/>
      <w:b/>
      <w:color w:val="000080"/>
      <w:sz w:val="24"/>
    </w:rPr>
  </w:style>
  <w:style w:type="character" w:styleId="779">
    <w:name w:val="Гипертекстовая ссылка"/>
    <w:basedOn w:val="778"/>
    <w:rPr>
      <w:rFonts w:ascii="Times New Roman" w:hAnsi="Times New Roman" w:cs="Times New Roman" w:eastAsia="Times New Roman"/>
      <w:b/>
      <w:color w:val="008000"/>
      <w:sz w:val="24"/>
    </w:rPr>
  </w:style>
  <w:style w:type="character" w:styleId="780">
    <w:name w:val="Hyperlink"/>
    <w:basedOn w:val="771"/>
    <w:rPr>
      <w:rFonts w:ascii="Times New Roman" w:hAnsi="Times New Roman" w:cs="Times New Roman" w:eastAsia="Times New Roman"/>
      <w:color w:val="0000FF"/>
      <w:sz w:val="24"/>
      <w:u w:val="single"/>
    </w:rPr>
  </w:style>
  <w:style w:type="paragraph" w:styleId="781">
    <w:name w:val="Таблицы (моноширинный)"/>
    <w:basedOn w:val="769"/>
    <w:rPr>
      <w:rFonts w:ascii="Courier New" w:hAnsi="Courier New" w:cs="Courier New" w:eastAsia="Courier New"/>
      <w:sz w:val="24"/>
      <w:szCs w:val="24"/>
      <w:lang w:val="ru-RU" w:bidi="ru-RU"/>
    </w:rPr>
    <w:pPr>
      <w:ind w:left="0" w:right="0"/>
      <w:jc w:val="both"/>
      <w:spacing w:lineRule="auto" w:line="240" w:after="0"/>
    </w:pPr>
  </w:style>
  <w:style w:type="table" w:styleId="782">
    <w:name w:val="Table Grid"/>
    <w:basedOn w:val="772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/>
    </w:pPr>
    <w:tblPr/>
  </w:style>
  <w:style w:type="paragraph" w:styleId="783">
    <w:name w:val="footnote text"/>
    <w:basedOn w:val="769"/>
    <w:semiHidden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/>
    </w:pPr>
  </w:style>
  <w:style w:type="character" w:styleId="784">
    <w:name w:val="Текст сноски Знак"/>
    <w:basedOn w:val="771"/>
    <w:semiHidden/>
    <w:rPr>
      <w:rFonts w:ascii="Times New Roman" w:hAnsi="Times New Roman" w:cs="Times New Roman" w:eastAsia="Times New Roman"/>
      <w:sz w:val="20"/>
    </w:rPr>
  </w:style>
  <w:style w:type="character" w:styleId="785">
    <w:name w:val="footnote reference"/>
    <w:basedOn w:val="771"/>
    <w:semiHidden/>
    <w:rPr>
      <w:rFonts w:ascii="Times New Roman" w:hAnsi="Times New Roman" w:cs="Times New Roman" w:eastAsia="Times New Roman"/>
      <w:sz w:val="24"/>
      <w:vertAlign w:val="superscript"/>
    </w:rPr>
  </w:style>
  <w:style w:type="paragraph" w:styleId="786">
    <w:name w:val="Комментарий"/>
    <w:basedOn w:val="769"/>
    <w:rPr>
      <w:rFonts w:ascii="Arial" w:hAnsi="Arial" w:cs="Arial" w:eastAsia="Arial"/>
      <w:color w:val="353842"/>
      <w:sz w:val="24"/>
      <w:szCs w:val="24"/>
      <w:shd w:val="clear" w:color="auto" w:fill="F0F0F0"/>
      <w:lang w:val="ru-RU" w:bidi="ru-RU"/>
    </w:rPr>
    <w:pPr>
      <w:ind w:left="0" w:right="0"/>
      <w:jc w:val="both"/>
      <w:spacing w:lineRule="auto" w:line="240" w:after="0" w:before="75"/>
    </w:pPr>
  </w:style>
  <w:style w:type="character" w:styleId="787">
    <w:name w:val="Продолжение ссылки"/>
    <w:rPr>
      <w:rFonts w:ascii="Times New Roman" w:hAnsi="Times New Roman" w:cs="Times New Roman" w:eastAsia="Times New Roman"/>
      <w:sz w:val="24"/>
    </w:rPr>
  </w:style>
  <w:style w:type="numbering" w:styleId="83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revision>1</cp:revision>
  <dcterms:modified xsi:type="dcterms:W3CDTF">2021-03-15T06:01:49Z</dcterms:modified>
</cp:coreProperties>
</file>